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9119A91" w14:textId="69746508" w:rsidR="002127EF" w:rsidRPr="00DD3B05" w:rsidRDefault="00C157D3" w:rsidP="00DF7CD3">
      <w:pPr>
        <w:spacing w:before="44" w:after="0" w:line="304" w:lineRule="exact"/>
        <w:ind w:right="100"/>
        <w:jc w:val="center"/>
        <w:rPr>
          <w:rFonts w:ascii="Arial" w:eastAsia="Avenir Next LT Pro" w:hAnsi="Arial" w:cs="Arial"/>
          <w:sz w:val="28"/>
          <w:szCs w:val="28"/>
        </w:rPr>
      </w:pPr>
      <w:r w:rsidRPr="00DD3B05">
        <w:rPr>
          <w:rFonts w:ascii="Arial" w:eastAsia="Avenir Next LT Pro" w:hAnsi="Arial" w:cs="Arial"/>
          <w:b/>
          <w:bCs/>
          <w:color w:val="231F20"/>
          <w:position w:val="-2"/>
          <w:sz w:val="28"/>
          <w:szCs w:val="28"/>
        </w:rPr>
        <w:t xml:space="preserve">                                                                                                                             </w:t>
      </w:r>
    </w:p>
    <w:p w14:paraId="6363914D" w14:textId="3154D460" w:rsidR="002127EF" w:rsidRPr="00C157D3" w:rsidRDefault="00CE3146" w:rsidP="00DF7CD3">
      <w:pPr>
        <w:spacing w:after="0" w:line="200" w:lineRule="exact"/>
        <w:rPr>
          <w:rFonts w:ascii="Arial" w:hAnsi="Arial"/>
          <w:sz w:val="20"/>
          <w:szCs w:val="20"/>
        </w:rPr>
      </w:pPr>
      <w:r>
        <w:rPr>
          <w:rFonts w:ascii="Arial" w:eastAsia="Avenir Next LT Pro" w:hAnsi="Arial" w:cs="Arial"/>
          <w:b/>
          <w:bCs/>
          <w:noProof/>
          <w:color w:val="231F20"/>
          <w:position w:val="-2"/>
          <w:sz w:val="28"/>
          <w:szCs w:val="28"/>
        </w:rPr>
        <w:pict w14:anchorId="17D681DC">
          <v:shapetype id="_x0000_t202" coordsize="21600,21600" o:spt="202" path="m0,0l0,21600,21600,21600,21600,0xe">
            <v:stroke joinstyle="miter"/>
            <v:path gradientshapeok="t" o:connecttype="rect"/>
          </v:shapetype>
          <v:shape id="_x0000_s1132" type="#_x0000_t202" style="position:absolute;margin-left:339.35pt;margin-top:4.95pt;width:191.7pt;height:51.1pt;z-index:251664384;mso-wrap-edited:f;mso-position-horizontal-relative:text;mso-position-vertical-relative:text" wrapcoords="0 0 21600 0 21600 21600 0 21600 0 0" filled="f" stroked="f">
            <v:fill o:detectmouseclick="t"/>
            <v:textbox style="mso-next-textbox:#_x0000_s1132" inset=",7.2pt,,7.2pt">
              <w:txbxContent>
                <w:p w14:paraId="3A40B254" w14:textId="77777777" w:rsidR="00AB5FA6" w:rsidRDefault="00AB5FA6"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SP-</w:t>
                  </w:r>
                  <w:r w:rsidR="00DF7CD3">
                    <w:rPr>
                      <w:rFonts w:ascii="Arial" w:eastAsia="Avenir Next LT Pro" w:hAnsi="Arial" w:cs="Avenir Next LT Pro"/>
                      <w:color w:val="231F20"/>
                      <w:sz w:val="24"/>
                      <w:szCs w:val="24"/>
                    </w:rPr>
                    <w:t>D260B-FR</w:t>
                  </w:r>
                </w:p>
              </w:txbxContent>
            </v:textbox>
            <w10:wrap type="tight"/>
          </v:shape>
        </w:pict>
      </w:r>
      <w:r>
        <w:rPr>
          <w:rFonts w:ascii="Arial" w:eastAsia="Avenir Next LT Pro" w:hAnsi="Arial" w:cs="Avenir Next LT Pro"/>
          <w:b/>
          <w:bCs/>
          <w:noProof/>
          <w:color w:val="231F20"/>
          <w:position w:val="-2"/>
          <w:sz w:val="28"/>
          <w:szCs w:val="28"/>
        </w:rPr>
        <w:drawing>
          <wp:anchor distT="0" distB="0" distL="114300" distR="114300" simplePos="0" relativeHeight="251681792" behindDoc="0" locked="0" layoutInCell="1" allowOverlap="1" wp14:anchorId="45B2B050" wp14:editId="047F358D">
            <wp:simplePos x="0" y="0"/>
            <wp:positionH relativeFrom="column">
              <wp:posOffset>107315</wp:posOffset>
            </wp:positionH>
            <wp:positionV relativeFrom="paragraph">
              <wp:posOffset>62865</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p>
    <w:p w14:paraId="7D040C4B" w14:textId="77777777" w:rsidR="00CE3146" w:rsidRDefault="00CE3146" w:rsidP="00DF7CD3">
      <w:pPr>
        <w:autoSpaceDE w:val="0"/>
        <w:autoSpaceDN w:val="0"/>
        <w:adjustRightInd w:val="0"/>
        <w:spacing w:before="69" w:line="210" w:lineRule="exact"/>
        <w:ind w:left="120" w:right="-20" w:firstLine="60"/>
        <w:rPr>
          <w:rFonts w:ascii="Arial" w:hAnsi="Arial" w:cs="Arial"/>
          <w:b/>
          <w:bCs/>
          <w:lang w:val="fr-CA"/>
        </w:rPr>
      </w:pPr>
    </w:p>
    <w:p w14:paraId="1F58890B" w14:textId="77777777" w:rsidR="00CE3146" w:rsidRDefault="00CE3146" w:rsidP="00DF7CD3">
      <w:pPr>
        <w:autoSpaceDE w:val="0"/>
        <w:autoSpaceDN w:val="0"/>
        <w:adjustRightInd w:val="0"/>
        <w:spacing w:before="69" w:line="210" w:lineRule="exact"/>
        <w:ind w:left="120" w:right="-20" w:firstLine="60"/>
        <w:rPr>
          <w:rFonts w:ascii="Arial" w:hAnsi="Arial" w:cs="Arial"/>
          <w:b/>
          <w:bCs/>
          <w:lang w:val="fr-CA"/>
        </w:rPr>
      </w:pPr>
    </w:p>
    <w:p w14:paraId="228E1EC6" w14:textId="3E32E348" w:rsidR="00CE3146" w:rsidRDefault="00A713CA" w:rsidP="00DF7CD3">
      <w:pPr>
        <w:autoSpaceDE w:val="0"/>
        <w:autoSpaceDN w:val="0"/>
        <w:adjustRightInd w:val="0"/>
        <w:spacing w:before="69" w:line="210" w:lineRule="exact"/>
        <w:ind w:left="120" w:right="-20" w:firstLine="60"/>
        <w:rPr>
          <w:rFonts w:ascii="Arial" w:hAnsi="Arial" w:cs="Arial"/>
          <w:b/>
          <w:bCs/>
          <w:lang w:val="fr-CA"/>
        </w:rPr>
      </w:pPr>
      <w:r>
        <w:rPr>
          <w:rFonts w:ascii="Arial" w:eastAsia="Avenir Next LT Pro Medium" w:hAnsi="Arial" w:cs="Avenir Next LT Pro Medium"/>
          <w:noProof/>
          <w:color w:val="231F20"/>
          <w:spacing w:val="-65"/>
          <w:position w:val="2"/>
          <w:sz w:val="68"/>
          <w:szCs w:val="68"/>
        </w:rPr>
        <w:pict w14:anchorId="1B409CEE">
          <v:shape id="_x0000_s1133" type="#_x0000_t202" style="position:absolute;left:0;text-align:left;margin-left:-234.95pt;margin-top:28.55pt;width:560.9pt;height:27.65pt;z-index:251665408;mso-wrap-edited:f" wrapcoords="0 0 21600 0 21600 21600 0 21600 0 0" filled="f" stroked="f">
            <v:fill o:detectmouseclick="t"/>
            <v:textbox style="mso-next-textbox:#_x0000_s1133" inset=",7.2pt,,7.2pt">
              <w:txbxContent>
                <w:p w14:paraId="08BDA045" w14:textId="77777777" w:rsidR="00AB5FA6" w:rsidRPr="00C157D3" w:rsidRDefault="00AB5FA6">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w:r>
    </w:p>
    <w:p w14:paraId="413F591D" w14:textId="2951B253" w:rsidR="00CE3146" w:rsidRDefault="00CE3146" w:rsidP="00DF7CD3">
      <w:pPr>
        <w:autoSpaceDE w:val="0"/>
        <w:autoSpaceDN w:val="0"/>
        <w:adjustRightInd w:val="0"/>
        <w:spacing w:before="69" w:line="210" w:lineRule="exact"/>
        <w:ind w:left="120" w:right="-20" w:firstLine="60"/>
        <w:rPr>
          <w:rFonts w:ascii="Arial" w:hAnsi="Arial" w:cs="Arial"/>
          <w:b/>
          <w:bCs/>
          <w:lang w:val="fr-CA"/>
        </w:rPr>
      </w:pPr>
    </w:p>
    <w:p w14:paraId="7DCA3500" w14:textId="31A652AF" w:rsidR="00DF7CD3" w:rsidRPr="00CE3146" w:rsidRDefault="00DF7CD3" w:rsidP="00A713CA">
      <w:pPr>
        <w:autoSpaceDE w:val="0"/>
        <w:autoSpaceDN w:val="0"/>
        <w:adjustRightInd w:val="0"/>
        <w:spacing w:before="69" w:line="210" w:lineRule="exact"/>
        <w:ind w:left="180" w:right="-20"/>
        <w:rPr>
          <w:rFonts w:ascii="Arial" w:hAnsi="Arial" w:cs="Arial"/>
          <w:sz w:val="24"/>
          <w:szCs w:val="24"/>
          <w:lang w:val="fr-CA"/>
        </w:rPr>
      </w:pPr>
      <w:r w:rsidRPr="00CE3146">
        <w:rPr>
          <w:rFonts w:ascii="Arial" w:hAnsi="Arial" w:cs="Arial"/>
          <w:b/>
          <w:bCs/>
          <w:sz w:val="24"/>
          <w:szCs w:val="24"/>
          <w:lang w:val="fr-CA"/>
        </w:rPr>
        <w:t>SPÉCIFICATION*</w:t>
      </w:r>
    </w:p>
    <w:p w14:paraId="51602EC5" w14:textId="77777777" w:rsidR="00DF7CD3" w:rsidRPr="00CE3146" w:rsidRDefault="00DF7CD3" w:rsidP="00DF7CD3">
      <w:pPr>
        <w:autoSpaceDE w:val="0"/>
        <w:autoSpaceDN w:val="0"/>
        <w:adjustRightInd w:val="0"/>
        <w:spacing w:before="3" w:line="150" w:lineRule="exact"/>
        <w:ind w:firstLine="60"/>
        <w:rPr>
          <w:rFonts w:ascii="Arial" w:hAnsi="Arial" w:cs="Arial"/>
          <w:lang w:val="fr-CA"/>
        </w:rPr>
        <w:sectPr w:rsidR="00DF7CD3" w:rsidRPr="00CE3146" w:rsidSect="00DF7CD3">
          <w:pgSz w:w="12240" w:h="15840"/>
          <w:pgMar w:top="400" w:right="840" w:bottom="0" w:left="630" w:header="720" w:footer="720" w:gutter="0"/>
          <w:cols w:space="720"/>
          <w:noEndnote/>
        </w:sectPr>
      </w:pPr>
    </w:p>
    <w:p w14:paraId="71EF1973" w14:textId="77777777" w:rsidR="00DF7CD3" w:rsidRPr="00CE3146" w:rsidRDefault="00DF7CD3" w:rsidP="00CE3146">
      <w:pPr>
        <w:suppressAutoHyphens/>
        <w:autoSpaceDE w:val="0"/>
        <w:autoSpaceDN w:val="0"/>
        <w:adjustRightInd w:val="0"/>
        <w:spacing w:before="120" w:line="240" w:lineRule="auto"/>
        <w:rPr>
          <w:rFonts w:ascii="Arial" w:hAnsi="Arial" w:cs="Arial"/>
          <w:lang w:val="fr-CA"/>
        </w:rPr>
      </w:pPr>
      <w:r w:rsidRPr="00CE3146">
        <w:rPr>
          <w:rFonts w:ascii="Arial" w:hAnsi="Arial" w:cs="Arial"/>
          <w:lang w:val="fr-CA"/>
        </w:rPr>
        <w:lastRenderedPageBreak/>
        <w:t xml:space="preserve">Fournir et installer comme illustré sur les plans, un Système de </w:t>
      </w:r>
      <w:proofErr w:type="spellStart"/>
      <w:r w:rsidRPr="00CE3146">
        <w:rPr>
          <w:rFonts w:ascii="Arial" w:hAnsi="Arial" w:cs="Arial"/>
          <w:lang w:val="fr-CA"/>
        </w:rPr>
        <w:t>surpresseur</w:t>
      </w:r>
      <w:proofErr w:type="spellEnd"/>
      <w:r w:rsidRPr="00CE3146">
        <w:rPr>
          <w:rFonts w:ascii="Arial" w:hAnsi="Arial" w:cs="Arial"/>
          <w:lang w:val="fr-CA"/>
        </w:rPr>
        <w:t xml:space="preserve"> </w:t>
      </w:r>
      <w:proofErr w:type="spellStart"/>
      <w:r w:rsidRPr="00CE3146">
        <w:rPr>
          <w:rFonts w:ascii="Arial" w:hAnsi="Arial" w:cs="Arial"/>
          <w:lang w:val="fr-CA"/>
        </w:rPr>
        <w:t>TechnoForce</w:t>
      </w:r>
      <w:proofErr w:type="spellEnd"/>
      <w:r w:rsidRPr="00CE3146">
        <w:rPr>
          <w:rFonts w:ascii="Arial" w:hAnsi="Arial" w:cs="Arial"/>
          <w:lang w:val="fr-CA"/>
        </w:rPr>
        <w:t xml:space="preserve"> fabriqué par </w:t>
      </w:r>
      <w:proofErr w:type="spellStart"/>
      <w:r w:rsidRPr="00CE3146">
        <w:rPr>
          <w:rFonts w:ascii="Arial" w:hAnsi="Arial" w:cs="Arial"/>
          <w:lang w:val="fr-CA"/>
        </w:rPr>
        <w:t>Xylem</w:t>
      </w:r>
      <w:proofErr w:type="spellEnd"/>
      <w:r w:rsidRPr="00CE3146">
        <w:rPr>
          <w:rFonts w:ascii="Arial" w:hAnsi="Arial" w:cs="Arial"/>
          <w:lang w:val="fr-CA"/>
        </w:rPr>
        <w:t xml:space="preserve"> Bell &amp; </w:t>
      </w:r>
      <w:proofErr w:type="spellStart"/>
      <w:r w:rsidRPr="00CE3146">
        <w:rPr>
          <w:rFonts w:ascii="Arial" w:hAnsi="Arial" w:cs="Arial"/>
          <w:lang w:val="fr-CA"/>
        </w:rPr>
        <w:t>Gossett</w:t>
      </w:r>
      <w:proofErr w:type="spellEnd"/>
      <w:r w:rsidRPr="00CE3146">
        <w:rPr>
          <w:rFonts w:ascii="Arial" w:hAnsi="Arial" w:cs="Arial"/>
          <w:lang w:val="fr-CA"/>
        </w:rPr>
        <w:t xml:space="preserve"> ou un équivalent </w:t>
      </w:r>
      <w:proofErr w:type="gramStart"/>
      <w:r w:rsidRPr="00CE3146">
        <w:rPr>
          <w:rFonts w:ascii="Arial" w:hAnsi="Arial" w:cs="Arial"/>
          <w:lang w:val="fr-CA"/>
        </w:rPr>
        <w:t>approuvé</w:t>
      </w:r>
      <w:proofErr w:type="gramEnd"/>
      <w:r w:rsidRPr="00CE3146">
        <w:rPr>
          <w:rFonts w:ascii="Arial" w:hAnsi="Arial" w:cs="Arial"/>
          <w:lang w:val="fr-CA"/>
        </w:rPr>
        <w:t>.</w:t>
      </w:r>
    </w:p>
    <w:p w14:paraId="7CB04177" w14:textId="77777777" w:rsidR="00DF7CD3" w:rsidRPr="00CE3146" w:rsidRDefault="00DF7CD3" w:rsidP="00CE3146">
      <w:pPr>
        <w:suppressAutoHyphens/>
        <w:autoSpaceDE w:val="0"/>
        <w:autoSpaceDN w:val="0"/>
        <w:adjustRightInd w:val="0"/>
        <w:spacing w:before="120" w:line="240" w:lineRule="auto"/>
        <w:rPr>
          <w:rFonts w:ascii="Arial" w:hAnsi="Arial" w:cs="Arial"/>
          <w:lang w:val="fr-CA"/>
        </w:rPr>
      </w:pPr>
      <w:r w:rsidRPr="00CE3146">
        <w:rPr>
          <w:rFonts w:ascii="Arial" w:hAnsi="Arial" w:cs="Arial"/>
          <w:lang w:val="fr-CA"/>
        </w:rPr>
        <w:t xml:space="preserve">Le système de pompage intégré sera construit avec les collecteurs de type 304 SS. L'unité sera conçue pour une pression fonctionnelle de 300 PSIG. Les collecteurs doivent s'enlever facilement pour permettre l'accès à l'entretien et le déplacement à travers les portes. Le fabricant sera inscrit sur la liste </w:t>
      </w:r>
      <w:proofErr w:type="spellStart"/>
      <w:r w:rsidRPr="00CE3146">
        <w:rPr>
          <w:rFonts w:ascii="Arial" w:hAnsi="Arial" w:cs="Arial"/>
          <w:lang w:val="fr-CA"/>
        </w:rPr>
        <w:t>Underwriters</w:t>
      </w:r>
      <w:proofErr w:type="spellEnd"/>
      <w:r w:rsidRPr="00CE3146">
        <w:rPr>
          <w:rFonts w:ascii="Arial" w:hAnsi="Arial" w:cs="Arial"/>
          <w:lang w:val="fr-CA"/>
        </w:rPr>
        <w:t xml:space="preserve"> </w:t>
      </w:r>
      <w:proofErr w:type="spellStart"/>
      <w:r w:rsidRPr="00CE3146">
        <w:rPr>
          <w:rFonts w:ascii="Arial" w:hAnsi="Arial" w:cs="Arial"/>
          <w:lang w:val="fr-CA"/>
        </w:rPr>
        <w:t>Laboratories</w:t>
      </w:r>
      <w:proofErr w:type="spellEnd"/>
      <w:r w:rsidRPr="00CE3146">
        <w:rPr>
          <w:rFonts w:ascii="Arial" w:hAnsi="Arial" w:cs="Arial"/>
          <w:lang w:val="fr-CA"/>
        </w:rPr>
        <w:t xml:space="preserve"> comme fabricant de systèmes de pompage intégré. L'ensemble complet de pompage intégré sera homologué NSF/ANSI-61 pour l'eau potable et NSF/ANSI-61 Annexe G pour surface mouillée, moyenne pondérée de la teneur en plomb de ≤0</w:t>
      </w:r>
      <w:proofErr w:type="gramStart"/>
      <w:r w:rsidRPr="00CE3146">
        <w:rPr>
          <w:rFonts w:ascii="Arial" w:hAnsi="Arial" w:cs="Arial"/>
          <w:lang w:val="fr-CA"/>
        </w:rPr>
        <w:t>,25</w:t>
      </w:r>
      <w:proofErr w:type="gramEnd"/>
      <w:r w:rsidRPr="00CE3146">
        <w:rPr>
          <w:rFonts w:ascii="Arial" w:hAnsi="Arial" w:cs="Arial"/>
          <w:lang w:val="fr-CA"/>
        </w:rPr>
        <w:t> %. L'ensemble complet sera construit selon la catégorie QCZJ pour systèmes de pompage intégré de UL avec étiquette apposée avant l'expédition.</w:t>
      </w:r>
    </w:p>
    <w:p w14:paraId="10CC79A1" w14:textId="77777777" w:rsidR="00DF7CD3" w:rsidRPr="00CE3146" w:rsidRDefault="00DF7CD3" w:rsidP="00CE3146">
      <w:pPr>
        <w:suppressAutoHyphens/>
        <w:autoSpaceDE w:val="0"/>
        <w:autoSpaceDN w:val="0"/>
        <w:adjustRightInd w:val="0"/>
        <w:spacing w:before="120" w:line="240" w:lineRule="auto"/>
        <w:rPr>
          <w:rFonts w:ascii="Arial" w:hAnsi="Arial" w:cs="Arial"/>
          <w:lang w:val="fr-CA"/>
        </w:rPr>
      </w:pPr>
      <w:r w:rsidRPr="00CE3146">
        <w:rPr>
          <w:rFonts w:ascii="Arial" w:hAnsi="Arial" w:cs="Arial"/>
          <w:lang w:val="fr-CA"/>
        </w:rPr>
        <w:t xml:space="preserve">Les moteurs respecteront les spécifications NEMA et seront de la grandeur, tension et </w:t>
      </w:r>
      <w:proofErr w:type="spellStart"/>
      <w:r w:rsidRPr="00CE3146">
        <w:rPr>
          <w:rFonts w:ascii="Arial" w:hAnsi="Arial" w:cs="Arial"/>
          <w:lang w:val="fr-CA"/>
        </w:rPr>
        <w:t>boîtier</w:t>
      </w:r>
      <w:proofErr w:type="spellEnd"/>
      <w:r w:rsidRPr="00CE3146">
        <w:rPr>
          <w:rFonts w:ascii="Arial" w:hAnsi="Arial" w:cs="Arial"/>
          <w:lang w:val="fr-CA"/>
        </w:rPr>
        <w:t xml:space="preserve"> exigés sur les plans. Le fabricant de pompe sera le même que le fabricant du </w:t>
      </w:r>
      <w:proofErr w:type="spellStart"/>
      <w:r w:rsidRPr="00CE3146">
        <w:rPr>
          <w:rFonts w:ascii="Arial" w:hAnsi="Arial" w:cs="Arial"/>
          <w:lang w:val="fr-CA"/>
        </w:rPr>
        <w:t>surpresseur</w:t>
      </w:r>
      <w:proofErr w:type="spellEnd"/>
      <w:r w:rsidRPr="00CE3146">
        <w:rPr>
          <w:rFonts w:ascii="Arial" w:hAnsi="Arial" w:cs="Arial"/>
          <w:lang w:val="fr-CA"/>
        </w:rPr>
        <w:t xml:space="preserve"> afin de garantir une seule source de responsabilité.</w:t>
      </w:r>
    </w:p>
    <w:p w14:paraId="0F62D1A9" w14:textId="77777777" w:rsidR="00DF7CD3" w:rsidRPr="00CE3146" w:rsidRDefault="00DF7CD3" w:rsidP="00CE3146">
      <w:pPr>
        <w:suppressAutoHyphens/>
        <w:autoSpaceDE w:val="0"/>
        <w:autoSpaceDN w:val="0"/>
        <w:adjustRightInd w:val="0"/>
        <w:spacing w:before="120" w:line="240" w:lineRule="auto"/>
        <w:rPr>
          <w:rFonts w:ascii="Arial" w:hAnsi="Arial" w:cs="Arial"/>
          <w:lang w:val="fr-CA"/>
        </w:rPr>
      </w:pPr>
      <w:r w:rsidRPr="00CE3146">
        <w:rPr>
          <w:rFonts w:ascii="Arial" w:hAnsi="Arial" w:cs="Arial"/>
          <w:lang w:val="fr-CA"/>
        </w:rPr>
        <w:t xml:space="preserve">Les systèmes seront expédiés complets avec pompes multicellulaires verticales en acier inoxydable e-SV </w:t>
      </w:r>
      <w:proofErr w:type="spellStart"/>
      <w:r w:rsidRPr="00CE3146">
        <w:rPr>
          <w:rFonts w:ascii="Arial" w:hAnsi="Arial" w:cs="Arial"/>
          <w:lang w:val="fr-CA"/>
        </w:rPr>
        <w:t>Xylem</w:t>
      </w:r>
      <w:proofErr w:type="spellEnd"/>
      <w:r w:rsidRPr="00CE3146">
        <w:rPr>
          <w:rFonts w:ascii="Arial" w:hAnsi="Arial" w:cs="Arial"/>
          <w:lang w:val="fr-CA"/>
        </w:rPr>
        <w:t>, aspiration en bout SSH ou aspiration en bout NPE. Toutes les pompes seront homologuées NSF/ANSI-61 pour l'eau potable et NSF/ANSI-61 Annexe G pour surface mouillée, moyenne pondérée de la teneur en plomb de ≤0</w:t>
      </w:r>
      <w:proofErr w:type="gramStart"/>
      <w:r w:rsidRPr="00CE3146">
        <w:rPr>
          <w:rFonts w:ascii="Arial" w:hAnsi="Arial" w:cs="Arial"/>
          <w:lang w:val="fr-CA"/>
        </w:rPr>
        <w:t>,25</w:t>
      </w:r>
      <w:proofErr w:type="gramEnd"/>
      <w:r w:rsidRPr="00CE3146">
        <w:rPr>
          <w:rFonts w:ascii="Arial" w:hAnsi="Arial" w:cs="Arial"/>
          <w:lang w:val="fr-CA"/>
        </w:rPr>
        <w:t> %.</w:t>
      </w:r>
    </w:p>
    <w:p w14:paraId="5D11EE66" w14:textId="18EDD7FB" w:rsidR="00DF7CD3" w:rsidRPr="00CE3146" w:rsidRDefault="00DF7CD3" w:rsidP="00A713CA">
      <w:pPr>
        <w:suppressAutoHyphens/>
        <w:autoSpaceDE w:val="0"/>
        <w:autoSpaceDN w:val="0"/>
        <w:adjustRightInd w:val="0"/>
        <w:spacing w:before="120" w:line="240" w:lineRule="auto"/>
        <w:ind w:right="160"/>
        <w:rPr>
          <w:rFonts w:ascii="Arial" w:hAnsi="Arial" w:cs="Arial"/>
          <w:lang w:val="fr-CA"/>
        </w:rPr>
      </w:pPr>
      <w:r w:rsidRPr="00CE3146">
        <w:rPr>
          <w:rFonts w:ascii="Arial" w:hAnsi="Arial" w:cs="Arial"/>
          <w:lang w:val="fr-CA"/>
        </w:rPr>
        <w:br w:type="column"/>
      </w:r>
      <w:r w:rsidRPr="00CE3146">
        <w:rPr>
          <w:rFonts w:ascii="Arial" w:hAnsi="Arial" w:cs="Arial"/>
          <w:lang w:val="fr-CA"/>
        </w:rPr>
        <w:lastRenderedPageBreak/>
        <w:t>Le cadre de la station de pompage sera conçu et fabriqué afin de fournir un support structurel à tout l'équipement attaché ainsi qu'un support au boulon d'ancrage. La base offrira suffisamment de rigidité pour supprimer tout stress lors d'un transport raisonnable et professionnel jusqu'au chantier, déchargement, installation et opération.</w:t>
      </w:r>
    </w:p>
    <w:p w14:paraId="13F3AD21" w14:textId="77777777" w:rsidR="00DF7CD3" w:rsidRPr="00CE3146" w:rsidRDefault="00DF7CD3" w:rsidP="00A713CA">
      <w:pPr>
        <w:suppressAutoHyphens/>
        <w:autoSpaceDE w:val="0"/>
        <w:autoSpaceDN w:val="0"/>
        <w:adjustRightInd w:val="0"/>
        <w:spacing w:before="120" w:line="240" w:lineRule="auto"/>
        <w:ind w:right="430"/>
        <w:rPr>
          <w:rFonts w:ascii="Arial" w:hAnsi="Arial" w:cs="Arial"/>
          <w:lang w:val="fr-CA"/>
        </w:rPr>
      </w:pPr>
      <w:r w:rsidRPr="00CE3146">
        <w:rPr>
          <w:rFonts w:ascii="Arial" w:hAnsi="Arial" w:cs="Arial"/>
          <w:lang w:val="fr-CA"/>
        </w:rPr>
        <w:t>Toute la tuyauterie sera construite en acier inoxydable 304, la tuyauterie prévue de type 10 ou plus lourde comme requis pour maintenir un facteur de pression 3 à 1 sans risque (incluant une corrosion admissible de 1/16 po).</w:t>
      </w:r>
    </w:p>
    <w:p w14:paraId="064577F3" w14:textId="77777777" w:rsidR="00DF7CD3" w:rsidRPr="00CE3146" w:rsidRDefault="00DF7CD3" w:rsidP="00A713CA">
      <w:pPr>
        <w:suppressAutoHyphens/>
        <w:autoSpaceDE w:val="0"/>
        <w:autoSpaceDN w:val="0"/>
        <w:adjustRightInd w:val="0"/>
        <w:spacing w:before="120" w:line="240" w:lineRule="auto"/>
        <w:ind w:right="160"/>
        <w:rPr>
          <w:rFonts w:ascii="Arial" w:hAnsi="Arial" w:cs="Arial"/>
          <w:lang w:val="fr-CA"/>
        </w:rPr>
      </w:pPr>
      <w:r w:rsidRPr="00CE3146">
        <w:rPr>
          <w:rFonts w:ascii="Arial" w:hAnsi="Arial" w:cs="Arial"/>
          <w:lang w:val="fr-CA"/>
        </w:rPr>
        <w:t>Les clapets à bille isolant et/ou des vannes papillon rainurées doivent être homologués à la norme NSF/ANSI-61 pour utilisation avec l'eau potable et doivent être certifiées à faible teneur en plomb pour les surfaces mouillées avec une moyenne pondérée de plomb inférieure à 0,25 %. Les clapets à billes isolants seront de capacité 600 psi WOG / 150 psi WSP pour les clapets de ½ po à 2 po et 400 psi WOG / 125 psi WSP pour les clapets de 2 ½ po à 4 po. Le corps et le disque des vannes papillon rainurées doivent être en fonte ductile/ ASTM A536 avec revêtement en nylon pour le corps et revêtement EPDM pour le disque.</w:t>
      </w:r>
    </w:p>
    <w:p w14:paraId="32175828" w14:textId="3B2467B0" w:rsidR="00DF7CD3" w:rsidRPr="00CE3146" w:rsidRDefault="00DF7CD3" w:rsidP="00CE3146">
      <w:pPr>
        <w:suppressAutoHyphens/>
        <w:autoSpaceDE w:val="0"/>
        <w:autoSpaceDN w:val="0"/>
        <w:adjustRightInd w:val="0"/>
        <w:spacing w:before="120" w:line="240" w:lineRule="auto"/>
        <w:ind w:right="430"/>
        <w:rPr>
          <w:rFonts w:ascii="Arial" w:hAnsi="Arial" w:cs="Arial"/>
          <w:lang w:val="fr-CA"/>
        </w:rPr>
      </w:pPr>
      <w:r w:rsidRPr="00CE3146">
        <w:rPr>
          <w:rFonts w:ascii="Arial" w:hAnsi="Arial" w:cs="Arial"/>
          <w:lang w:val="fr-CA"/>
        </w:rPr>
        <w:t xml:space="preserve">Les jauges de pression à tube Bourdon rempli </w:t>
      </w:r>
      <w:r w:rsidR="00A713CA">
        <w:rPr>
          <w:rFonts w:ascii="Arial" w:hAnsi="Arial" w:cs="Arial"/>
          <w:lang w:val="fr-CA"/>
        </w:rPr>
        <w:br/>
      </w:r>
      <w:r w:rsidRPr="00CE3146">
        <w:rPr>
          <w:rFonts w:ascii="Arial" w:hAnsi="Arial" w:cs="Arial"/>
          <w:lang w:val="fr-CA"/>
        </w:rPr>
        <w:t xml:space="preserve">de glycérine seront fournies avec le collecteur d'aspiration et d'évacuation. La précision sera </w:t>
      </w:r>
      <w:r w:rsidR="00A713CA">
        <w:rPr>
          <w:rFonts w:ascii="Arial" w:hAnsi="Arial" w:cs="Arial"/>
          <w:lang w:val="fr-CA"/>
        </w:rPr>
        <w:br/>
      </w:r>
      <w:r w:rsidRPr="00CE3146">
        <w:rPr>
          <w:rFonts w:ascii="Arial" w:hAnsi="Arial" w:cs="Arial"/>
          <w:lang w:val="fr-CA"/>
        </w:rPr>
        <w:t>de ± 1,5 %.</w:t>
      </w:r>
    </w:p>
    <w:p w14:paraId="449DB6D2" w14:textId="6EB6E364" w:rsidR="00DF7CD3" w:rsidRPr="00CE3146" w:rsidRDefault="00DF7CD3" w:rsidP="00CE3146">
      <w:pPr>
        <w:suppressAutoHyphens/>
        <w:autoSpaceDE w:val="0"/>
        <w:autoSpaceDN w:val="0"/>
        <w:adjustRightInd w:val="0"/>
        <w:spacing w:before="120" w:line="240" w:lineRule="auto"/>
        <w:ind w:right="430"/>
        <w:rPr>
          <w:rFonts w:ascii="Arial" w:hAnsi="Arial" w:cs="Arial"/>
          <w:lang w:val="fr-CA"/>
        </w:rPr>
      </w:pPr>
      <w:r w:rsidRPr="00CE3146">
        <w:rPr>
          <w:rFonts w:ascii="Arial" w:hAnsi="Arial" w:cs="Arial"/>
          <w:lang w:val="fr-CA"/>
        </w:rPr>
        <w:t>Les boulons seront plaqués en zinc et respecteront la norme A193 BS d'ASTM. La couche de finition sera en émail acrylique avec une épaisseur d'au moins 3 mil.</w:t>
      </w:r>
    </w:p>
    <w:p w14:paraId="717B6A48" w14:textId="7EAA9257" w:rsidR="00DF7CD3" w:rsidRPr="00CE3146" w:rsidRDefault="00DF7CD3" w:rsidP="00CE3146">
      <w:pPr>
        <w:tabs>
          <w:tab w:val="left" w:pos="5130"/>
          <w:tab w:val="left" w:pos="5310"/>
          <w:tab w:val="left" w:pos="5400"/>
        </w:tabs>
        <w:suppressAutoHyphens/>
        <w:autoSpaceDE w:val="0"/>
        <w:autoSpaceDN w:val="0"/>
        <w:adjustRightInd w:val="0"/>
        <w:spacing w:before="120" w:line="240" w:lineRule="auto"/>
        <w:ind w:right="502"/>
        <w:rPr>
          <w:rFonts w:ascii="Arial" w:hAnsi="Arial" w:cs="Arial"/>
          <w:lang w:val="fr-CA"/>
        </w:rPr>
        <w:sectPr w:rsidR="00DF7CD3" w:rsidRPr="00CE3146" w:rsidSect="00140F43">
          <w:type w:val="continuous"/>
          <w:pgSz w:w="12240" w:h="15840"/>
          <w:pgMar w:top="400" w:right="840" w:bottom="900" w:left="810" w:header="720" w:footer="720" w:gutter="0"/>
          <w:cols w:num="2" w:space="720" w:equalWidth="0">
            <w:col w:w="5380" w:space="286"/>
            <w:col w:w="5404"/>
          </w:cols>
          <w:noEndnote/>
        </w:sectPr>
      </w:pPr>
      <w:r w:rsidRPr="00CE3146">
        <w:rPr>
          <w:rFonts w:ascii="Arial" w:hAnsi="Arial" w:cs="Arial"/>
          <w:lang w:val="fr-CA"/>
        </w:rPr>
        <w:t>Le débit plein, la pression et les pièces électriques de l'ensemble s</w:t>
      </w:r>
      <w:r w:rsidR="00EA5944" w:rsidRPr="00CE3146">
        <w:rPr>
          <w:rFonts w:ascii="Arial" w:hAnsi="Arial" w:cs="Arial"/>
          <w:lang w:val="fr-CA"/>
        </w:rPr>
        <w:t>eront testés avant l'expédit</w:t>
      </w:r>
      <w:r w:rsidR="00140F43" w:rsidRPr="00CE3146">
        <w:rPr>
          <w:rFonts w:ascii="Arial" w:hAnsi="Arial" w:cs="Arial"/>
          <w:lang w:val="fr-CA"/>
        </w:rPr>
        <w:t>ion</w:t>
      </w:r>
      <w:r w:rsidR="00A713CA">
        <w:rPr>
          <w:rFonts w:ascii="Arial" w:hAnsi="Arial" w:cs="Arial"/>
          <w:lang w:val="fr-CA"/>
        </w:rPr>
        <w:t>.</w:t>
      </w:r>
    </w:p>
    <w:p w14:paraId="1D7C2A78" w14:textId="1CD590C4" w:rsidR="00140F43" w:rsidRDefault="00A713CA">
      <w:bookmarkStart w:id="0" w:name="_GoBack"/>
      <w:bookmarkEnd w:id="0"/>
      <w:r>
        <w:rPr>
          <w:rFonts w:ascii="Arial" w:hAnsi="Arial" w:cs="Arial"/>
          <w:noProof/>
          <w:sz w:val="18"/>
          <w:szCs w:val="18"/>
        </w:rPr>
        <w:lastRenderedPageBreak/>
        <w:pict w14:anchorId="18D11F4B">
          <v:shape id="_x0000_s1167" type="#_x0000_t202" style="position:absolute;margin-left:33.55pt;margin-top:12.4pt;width:161.8pt;height:27.1pt;z-index:251684864;mso-wrap-edited:f" wrapcoords="0 0 21600 0 21600 21600 0 21600 0 0" filled="f" stroked="f">
            <v:fill o:detectmouseclick="t"/>
            <v:textbox style="mso-next-textbox:#_x0000_s1167" inset=",7.2pt,,7.2pt">
              <w:txbxContent>
                <w:p w14:paraId="17CB8185" w14:textId="77777777" w:rsidR="00EA5944" w:rsidRPr="00CE3146" w:rsidRDefault="00EA5944" w:rsidP="00EA5944">
                  <w:pPr>
                    <w:autoSpaceDE w:val="0"/>
                    <w:autoSpaceDN w:val="0"/>
                    <w:adjustRightInd w:val="0"/>
                    <w:spacing w:after="0" w:line="240" w:lineRule="auto"/>
                    <w:rPr>
                      <w:rFonts w:ascii="Arial" w:hAnsi="Arial" w:cs="Arial"/>
                      <w:sz w:val="20"/>
                      <w:szCs w:val="20"/>
                      <w:lang w:val="fr-CA"/>
                    </w:rPr>
                  </w:pPr>
                  <w:r w:rsidRPr="00CE3146">
                    <w:rPr>
                      <w:rFonts w:ascii="Arial" w:hAnsi="Arial" w:cs="Arial"/>
                      <w:b/>
                      <w:bCs/>
                      <w:sz w:val="20"/>
                      <w:szCs w:val="20"/>
                      <w:lang w:val="fr-CA"/>
                    </w:rPr>
                    <w:t>PERFORMANCE NOMINALE</w:t>
                  </w:r>
                  <w:r w:rsidRPr="00CE3146">
                    <w:rPr>
                      <w:rFonts w:ascii="Arial" w:hAnsi="Arial" w:cs="Arial"/>
                      <w:b/>
                      <w:bCs/>
                      <w:sz w:val="20"/>
                      <w:szCs w:val="20"/>
                      <w:lang w:val="fr-CA"/>
                    </w:rPr>
                    <w:tab/>
                  </w:r>
                </w:p>
                <w:p w14:paraId="75348096" w14:textId="77777777" w:rsidR="00EA5944" w:rsidRDefault="00EA5944"/>
              </w:txbxContent>
            </v:textbox>
            <w10:wrap type="tight"/>
          </v:shape>
        </w:pict>
      </w:r>
      <w:r>
        <w:rPr>
          <w:rFonts w:ascii="Arial" w:hAnsi="Arial" w:cs="Arial"/>
          <w:noProof/>
          <w:sz w:val="18"/>
          <w:szCs w:val="18"/>
        </w:rPr>
        <w:drawing>
          <wp:anchor distT="0" distB="0" distL="114300" distR="114300" simplePos="0" relativeHeight="251685888" behindDoc="0" locked="0" layoutInCell="1" allowOverlap="1" wp14:anchorId="150CBFCD" wp14:editId="4660A273">
            <wp:simplePos x="0" y="0"/>
            <wp:positionH relativeFrom="column">
              <wp:posOffset>518160</wp:posOffset>
            </wp:positionH>
            <wp:positionV relativeFrom="paragraph">
              <wp:posOffset>601980</wp:posOffset>
            </wp:positionV>
            <wp:extent cx="5725160" cy="391541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60A curve.jpg"/>
                    <pic:cNvPicPr/>
                  </pic:nvPicPr>
                  <pic:blipFill>
                    <a:blip r:embed="rId8">
                      <a:extLst>
                        <a:ext uri="{28A0092B-C50C-407E-A947-70E740481C1C}">
                          <a14:useLocalDpi xmlns:a14="http://schemas.microsoft.com/office/drawing/2010/main" val="0"/>
                        </a:ext>
                      </a:extLst>
                    </a:blip>
                    <a:stretch>
                      <a:fillRect/>
                    </a:stretch>
                  </pic:blipFill>
                  <pic:spPr>
                    <a:xfrm>
                      <a:off x="0" y="0"/>
                      <a:ext cx="5725160" cy="3915410"/>
                    </a:xfrm>
                    <a:prstGeom prst="rect">
                      <a:avLst/>
                    </a:prstGeom>
                  </pic:spPr>
                </pic:pic>
              </a:graphicData>
            </a:graphic>
            <wp14:sizeRelH relativeFrom="page">
              <wp14:pctWidth>0</wp14:pctWidth>
            </wp14:sizeRelH>
            <wp14:sizeRelV relativeFrom="page">
              <wp14:pctHeight>0</wp14:pctHeight>
            </wp14:sizeRelV>
          </wp:anchor>
        </w:drawing>
      </w:r>
      <w:r w:rsidR="00CE3146">
        <w:rPr>
          <w:rFonts w:ascii="Arial" w:hAnsi="Arial" w:cs="Arial"/>
          <w:noProof/>
          <w:sz w:val="18"/>
          <w:szCs w:val="18"/>
        </w:rPr>
        <w:drawing>
          <wp:anchor distT="0" distB="0" distL="114300" distR="114300" simplePos="0" relativeHeight="251683840" behindDoc="0" locked="0" layoutInCell="1" allowOverlap="1" wp14:anchorId="04BF6D27" wp14:editId="7024DA78">
            <wp:simplePos x="0" y="0"/>
            <wp:positionH relativeFrom="column">
              <wp:posOffset>262255</wp:posOffset>
            </wp:positionH>
            <wp:positionV relativeFrom="paragraph">
              <wp:posOffset>7828280</wp:posOffset>
            </wp:positionV>
            <wp:extent cx="1502410" cy="548640"/>
            <wp:effectExtent l="0" t="0" r="0" b="0"/>
            <wp:wrapTight wrapText="bothSides">
              <wp:wrapPolygon edited="0">
                <wp:start x="0" y="0"/>
                <wp:lineTo x="0" y="21000"/>
                <wp:lineTo x="21180" y="21000"/>
                <wp:lineTo x="211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146">
        <w:rPr>
          <w:rFonts w:ascii="Arial" w:hAnsi="Arial" w:cs="Arial"/>
          <w:noProof/>
          <w:sz w:val="18"/>
          <w:szCs w:val="18"/>
        </w:rPr>
        <w:pict w14:anchorId="29AA4901">
          <v:shape id="_x0000_s1165" type="#_x0000_t202" style="position:absolute;margin-left:12.65pt;margin-top:660.9pt;width:343.7pt;height:55.9pt;z-index:251682816;mso-wrap-edited:f;mso-position-horizontal-relative:text;mso-position-vertical-relative:text" wrapcoords="0 0 21600 0 21600 21600 0 21600 0 0" filled="f" stroked="f">
            <v:fill o:detectmouseclick="t"/>
            <v:textbox style="mso-next-textbox:#_x0000_s1165" inset=",7.2pt,,7.2pt">
              <w:txbxContent>
                <w:p w14:paraId="04B6E6CA" w14:textId="77777777" w:rsidR="00EA5944" w:rsidRPr="00C157D3" w:rsidRDefault="00A713CA" w:rsidP="00EA5944">
                  <w:pPr>
                    <w:tabs>
                      <w:tab w:val="left" w:pos="8560"/>
                    </w:tabs>
                    <w:spacing w:after="0" w:line="372" w:lineRule="exact"/>
                    <w:ind w:right="-20"/>
                    <w:rPr>
                      <w:rFonts w:ascii="Arial" w:eastAsia="Times New Roman" w:hAnsi="Arial" w:cs="Times New Roman"/>
                    </w:rPr>
                  </w:pPr>
                  <w:hyperlink r:id="rId10">
                    <w:r w:rsidR="00EA5944" w:rsidRPr="00C157D3">
                      <w:rPr>
                        <w:rFonts w:ascii="Arial" w:eastAsia="Avenir Next LT Pro Medium" w:hAnsi="Arial" w:cs="Avenir Next LT Pro Medium"/>
                        <w:color w:val="231F20"/>
                        <w:position w:val="2"/>
                      </w:rPr>
                      <w:t>ww</w:t>
                    </w:r>
                    <w:r w:rsidR="00EA5944" w:rsidRPr="00C157D3">
                      <w:rPr>
                        <w:rFonts w:ascii="Arial" w:eastAsia="Avenir Next LT Pro Medium" w:hAnsi="Arial" w:cs="Avenir Next LT Pro Medium"/>
                        <w:color w:val="231F20"/>
                        <w:spacing w:val="-8"/>
                        <w:position w:val="2"/>
                      </w:rPr>
                      <w:t>w</w:t>
                    </w:r>
                    <w:r w:rsidR="00EA5944" w:rsidRPr="00C157D3">
                      <w:rPr>
                        <w:rFonts w:ascii="Arial" w:eastAsia="Avenir Next LT Pro Medium" w:hAnsi="Arial" w:cs="Avenir Next LT Pro Medium"/>
                        <w:color w:val="231F20"/>
                        <w:position w:val="2"/>
                      </w:rPr>
                      <w:t>.bellgosse</w:t>
                    </w:r>
                    <w:r w:rsidR="00EA5944" w:rsidRPr="00C157D3">
                      <w:rPr>
                        <w:rFonts w:ascii="Arial" w:eastAsia="Avenir Next LT Pro Medium" w:hAnsi="Arial" w:cs="Avenir Next LT Pro Medium"/>
                        <w:color w:val="231F20"/>
                        <w:spacing w:val="-3"/>
                        <w:position w:val="2"/>
                      </w:rPr>
                      <w:t>t</w:t>
                    </w:r>
                    <w:r w:rsidR="00EA5944" w:rsidRPr="00C157D3">
                      <w:rPr>
                        <w:rFonts w:ascii="Arial" w:eastAsia="Avenir Next LT Pro Medium" w:hAnsi="Arial" w:cs="Avenir Next LT Pro Medium"/>
                        <w:color w:val="231F20"/>
                        <w:position w:val="2"/>
                      </w:rPr>
                      <w:t>t.com</w:t>
                    </w:r>
                    <w:r w:rsidR="00EA5944" w:rsidRPr="00C157D3">
                      <w:rPr>
                        <w:rFonts w:ascii="Arial" w:eastAsia="Avenir Next LT Pro Medium" w:hAnsi="Arial" w:cs="Avenir Next LT Pro Medium"/>
                        <w:color w:val="231F20"/>
                        <w:position w:val="2"/>
                      </w:rPr>
                      <w:tab/>
                    </w:r>
                    <w:r w:rsidR="00EA5944" w:rsidRPr="00C157D3">
                      <w:rPr>
                        <w:rFonts w:ascii="Arial" w:eastAsia="Times New Roman" w:hAnsi="Arial" w:cs="Times New Roman"/>
                        <w:color w:val="231F20"/>
                        <w:position w:val="2"/>
                      </w:rPr>
                      <w:t xml:space="preserve">   </w:t>
                    </w:r>
                  </w:hyperlink>
                </w:p>
                <w:p w14:paraId="6381BB23" w14:textId="3F609ABF" w:rsidR="00EA5944" w:rsidRPr="00D42B96" w:rsidRDefault="00D42B96" w:rsidP="00EA5944">
                  <w:pPr>
                    <w:rPr>
                      <w:rFonts w:ascii="Arial" w:hAnsi="Arial" w:cs="Arial"/>
                      <w:sz w:val="18"/>
                      <w:szCs w:val="18"/>
                    </w:rPr>
                  </w:pPr>
                  <w:r w:rsidRPr="00D42B96">
                    <w:rPr>
                      <w:rFonts w:ascii="Arial" w:hAnsi="Arial" w:cs="Arial"/>
                      <w:sz w:val="18"/>
                      <w:szCs w:val="18"/>
                    </w:rPr>
                    <w:t xml:space="preserve">Bell &amp; Gossett </w:t>
                  </w:r>
                  <w:proofErr w:type="spellStart"/>
                  <w:proofErr w:type="gramStart"/>
                  <w:r w:rsidRPr="00D42B96">
                    <w:rPr>
                      <w:rFonts w:ascii="Arial" w:hAnsi="Arial" w:cs="Arial"/>
                      <w:sz w:val="18"/>
                      <w:szCs w:val="18"/>
                    </w:rPr>
                    <w:t>est</w:t>
                  </w:r>
                  <w:proofErr w:type="spellEnd"/>
                  <w:proofErr w:type="gramEnd"/>
                  <w:r w:rsidRPr="00D42B96">
                    <w:rPr>
                      <w:rFonts w:ascii="Arial" w:hAnsi="Arial" w:cs="Arial"/>
                      <w:sz w:val="18"/>
                      <w:szCs w:val="18"/>
                    </w:rPr>
                    <w:t xml:space="preserve"> </w:t>
                  </w:r>
                  <w:proofErr w:type="spellStart"/>
                  <w:r w:rsidRPr="00D42B96">
                    <w:rPr>
                      <w:rFonts w:ascii="Arial" w:hAnsi="Arial" w:cs="Arial"/>
                      <w:sz w:val="18"/>
                      <w:szCs w:val="18"/>
                    </w:rPr>
                    <w:t>une</w:t>
                  </w:r>
                  <w:proofErr w:type="spellEnd"/>
                  <w:r w:rsidRPr="00D42B96">
                    <w:rPr>
                      <w:rFonts w:ascii="Arial" w:hAnsi="Arial" w:cs="Arial"/>
                      <w:sz w:val="18"/>
                      <w:szCs w:val="18"/>
                    </w:rPr>
                    <w:t xml:space="preserve"> marque de commerce de Xylem Inc. </w:t>
                  </w:r>
                  <w:proofErr w:type="spellStart"/>
                  <w:r w:rsidRPr="00D42B96">
                    <w:rPr>
                      <w:rFonts w:ascii="Arial" w:hAnsi="Arial" w:cs="Arial"/>
                      <w:sz w:val="18"/>
                      <w:szCs w:val="18"/>
                    </w:rPr>
                    <w:t>ou</w:t>
                  </w:r>
                  <w:proofErr w:type="spellEnd"/>
                  <w:r w:rsidRPr="00D42B96">
                    <w:rPr>
                      <w:rFonts w:ascii="Arial" w:hAnsi="Arial" w:cs="Arial"/>
                      <w:sz w:val="18"/>
                      <w:szCs w:val="18"/>
                    </w:rPr>
                    <w:t xml:space="preserve"> </w:t>
                  </w:r>
                  <w:proofErr w:type="spellStart"/>
                  <w:r w:rsidRPr="00D42B96">
                    <w:rPr>
                      <w:rFonts w:ascii="Arial" w:hAnsi="Arial" w:cs="Arial"/>
                      <w:sz w:val="18"/>
                      <w:szCs w:val="18"/>
                    </w:rPr>
                    <w:t>une</w:t>
                  </w:r>
                  <w:proofErr w:type="spellEnd"/>
                  <w:r w:rsidRPr="00D42B96">
                    <w:rPr>
                      <w:rFonts w:ascii="Arial" w:hAnsi="Arial" w:cs="Arial"/>
                      <w:sz w:val="18"/>
                      <w:szCs w:val="18"/>
                    </w:rPr>
                    <w:t xml:space="preserve"> de </w:t>
                  </w:r>
                  <w:proofErr w:type="spellStart"/>
                  <w:r w:rsidRPr="00D42B96">
                    <w:rPr>
                      <w:rFonts w:ascii="Arial" w:hAnsi="Arial" w:cs="Arial"/>
                      <w:sz w:val="18"/>
                      <w:szCs w:val="18"/>
                    </w:rPr>
                    <w:t>ses</w:t>
                  </w:r>
                  <w:proofErr w:type="spellEnd"/>
                  <w:r w:rsidRPr="00D42B96">
                    <w:rPr>
                      <w:rFonts w:ascii="Arial" w:hAnsi="Arial" w:cs="Arial"/>
                      <w:sz w:val="18"/>
                      <w:szCs w:val="18"/>
                    </w:rPr>
                    <w:t xml:space="preserve"> </w:t>
                  </w:r>
                  <w:proofErr w:type="spellStart"/>
                  <w:r w:rsidRPr="00D42B96">
                    <w:rPr>
                      <w:rFonts w:ascii="Arial" w:hAnsi="Arial" w:cs="Arial"/>
                      <w:sz w:val="18"/>
                      <w:szCs w:val="18"/>
                    </w:rPr>
                    <w:t>filiales</w:t>
                  </w:r>
                  <w:proofErr w:type="spellEnd"/>
                  <w:r w:rsidRPr="00D42B96">
                    <w:rPr>
                      <w:rFonts w:ascii="Arial" w:hAnsi="Arial" w:cs="Arial"/>
                      <w:sz w:val="18"/>
                      <w:szCs w:val="18"/>
                    </w:rPr>
                    <w:t>. © 201</w:t>
                  </w:r>
                  <w:r>
                    <w:rPr>
                      <w:rFonts w:ascii="Arial" w:hAnsi="Arial" w:cs="Arial"/>
                      <w:sz w:val="18"/>
                      <w:szCs w:val="18"/>
                    </w:rPr>
                    <w:t>6</w:t>
                  </w:r>
                  <w:r w:rsidRPr="00D42B96">
                    <w:rPr>
                      <w:rFonts w:ascii="Arial" w:hAnsi="Arial" w:cs="Arial"/>
                      <w:sz w:val="18"/>
                      <w:szCs w:val="18"/>
                    </w:rPr>
                    <w:t xml:space="preserve"> Xylem In c. SP-D260B</w:t>
                  </w:r>
                  <w:r>
                    <w:rPr>
                      <w:rFonts w:ascii="Arial" w:hAnsi="Arial" w:cs="Arial"/>
                      <w:sz w:val="18"/>
                      <w:szCs w:val="18"/>
                    </w:rPr>
                    <w:t>-</w:t>
                  </w:r>
                  <w:proofErr w:type="gramStart"/>
                  <w:r>
                    <w:rPr>
                      <w:rFonts w:ascii="Arial" w:hAnsi="Arial" w:cs="Arial"/>
                      <w:sz w:val="18"/>
                      <w:szCs w:val="18"/>
                    </w:rPr>
                    <w:t xml:space="preserve">FR </w:t>
                  </w:r>
                  <w:r w:rsidRPr="00D42B96">
                    <w:rPr>
                      <w:rFonts w:ascii="Arial" w:hAnsi="Arial" w:cs="Arial"/>
                      <w:sz w:val="18"/>
                      <w:szCs w:val="18"/>
                    </w:rPr>
                    <w:t xml:space="preserve"> </w:t>
                  </w:r>
                  <w:proofErr w:type="spellStart"/>
                  <w:r w:rsidRPr="00D42B96">
                    <w:rPr>
                      <w:rFonts w:ascii="Arial" w:hAnsi="Arial" w:cs="Arial"/>
                      <w:sz w:val="18"/>
                      <w:szCs w:val="18"/>
                    </w:rPr>
                    <w:t>Septembre</w:t>
                  </w:r>
                  <w:proofErr w:type="spellEnd"/>
                  <w:proofErr w:type="gramEnd"/>
                  <w:r w:rsidRPr="00D42B96">
                    <w:rPr>
                      <w:rFonts w:ascii="Arial" w:hAnsi="Arial" w:cs="Arial"/>
                      <w:sz w:val="18"/>
                      <w:szCs w:val="18"/>
                    </w:rPr>
                    <w:t xml:space="preserve"> 2012 * Brevet en instance</w:t>
                  </w:r>
                </w:p>
              </w:txbxContent>
            </v:textbox>
            <w10:wrap type="tight"/>
          </v:shape>
        </w:pict>
      </w:r>
    </w:p>
    <w:sectPr w:rsidR="00140F43" w:rsidSect="00DD3B05">
      <w:headerReference w:type="even" r:id="rId11"/>
      <w:headerReference w:type="default" r:id="rId12"/>
      <w:footerReference w:type="even" r:id="rId13"/>
      <w:footerReference w:type="default" r:id="rId14"/>
      <w:pgSz w:w="12240" w:h="15840"/>
      <w:pgMar w:top="810" w:right="780" w:bottom="720" w:left="900" w:header="45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1794507" w14:textId="77777777" w:rsidR="00AB5FA6" w:rsidRDefault="00AB5FA6">
      <w:pPr>
        <w:spacing w:after="0" w:line="240" w:lineRule="auto"/>
      </w:pPr>
      <w:r>
        <w:separator/>
      </w:r>
    </w:p>
  </w:endnote>
  <w:endnote w:type="continuationSeparator" w:id="0">
    <w:p w14:paraId="361EAE32" w14:textId="77777777" w:rsidR="00AB5FA6" w:rsidRDefault="00AB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Next LT Pro Medium">
    <w:panose1 w:val="020B0603020202020204"/>
    <w:charset w:val="00"/>
    <w:family w:val="auto"/>
    <w:pitch w:val="variable"/>
    <w:sig w:usb0="800000A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Regular">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 Next LT Pro">
    <w:altName w:val="Avenir Next LT Pro"/>
    <w:charset w:val="00"/>
    <w:family w:val="roman"/>
    <w:pitch w:val="variable"/>
    <w:sig w:usb0="00000003" w:usb1="00000000" w:usb2="00000000" w:usb3="00000000" w:csb0="00000001" w:csb1="00000000"/>
  </w:font>
  <w:font w:name="Avenir Next LT Pro Medium">
    <w:altName w:val="Times New Roman"/>
    <w:charset w:val="00"/>
    <w:family w:val="roman"/>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F4CC4C" w14:textId="77777777" w:rsidR="000E6783" w:rsidRDefault="000E6783" w:rsidP="000E6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E68CE" w14:textId="77777777" w:rsidR="000E6783" w:rsidRDefault="000E6783" w:rsidP="000E6783">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927AD5" w14:textId="77777777" w:rsidR="000E6783" w:rsidRDefault="000E6783" w:rsidP="000E6783">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019ECB4" w14:textId="77777777" w:rsidR="00AB5FA6" w:rsidRDefault="00AB5FA6">
      <w:pPr>
        <w:spacing w:after="0" w:line="240" w:lineRule="auto"/>
      </w:pPr>
      <w:r>
        <w:separator/>
      </w:r>
    </w:p>
  </w:footnote>
  <w:footnote w:type="continuationSeparator" w:id="0">
    <w:p w14:paraId="0DC058BF" w14:textId="77777777" w:rsidR="00AB5FA6" w:rsidRDefault="00AB5F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E8B23E" w14:textId="77777777" w:rsidR="00B31B1E" w:rsidRDefault="00B31B1E" w:rsidP="008728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AF747" w14:textId="77777777" w:rsidR="00AB5FA6" w:rsidRDefault="00A713CA" w:rsidP="00B31B1E">
    <w:pPr>
      <w:spacing w:after="0" w:line="200" w:lineRule="exact"/>
      <w:ind w:right="360"/>
      <w:rPr>
        <w:sz w:val="20"/>
        <w:szCs w:val="20"/>
      </w:rPr>
    </w:pPr>
    <w:r>
      <w:rPr>
        <w:noProof/>
      </w:rPr>
      <w:pict w14:anchorId="77EF1C7D">
        <v:shapetype id="_x0000_t202" coordsize="21600,21600" o:spt="202" path="m0,0l0,21600,21600,21600,21600,0xe">
          <v:stroke joinstyle="miter"/>
          <v:path gradientshapeok="t" o:connecttype="rect"/>
        </v:shapetype>
        <v:shape id="_x0000_s2069" type="#_x0000_t202" style="position:absolute;margin-left:-10.65pt;margin-top:-2.25pt;width:577.7pt;height:27.65pt;z-index:251661312" filled="f" stroked="f">
          <v:fill o:detectmouseclick="t"/>
          <v:textbox style="mso-next-textbox:#_x0000_s2069" inset=",7.2pt,,7.2pt">
            <w:txbxContent>
              <w:p w14:paraId="267AB8DE" w14:textId="77777777" w:rsidR="00AB5FA6" w:rsidRPr="00C157D3" w:rsidRDefault="00AB5FA6">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4D12D0F3" w14:textId="77777777" w:rsidR="00AB5FA6" w:rsidRDefault="00AB5FA6"/>
            </w:txbxContent>
          </v:textbox>
        </v:shape>
      </w:pict>
    </w:r>
    <w:r>
      <w:pict w14:anchorId="2B24EB83">
        <v:shape id="_x0000_s2058" type="#_x0000_t202" style="position:absolute;margin-left:559.2pt;margin-top:28.95pt;width:9.8pt;height:12pt;z-index:-251659264;mso-position-horizontal-relative:page;mso-position-vertical-relative:page" filled="f" stroked="f">
          <v:textbox style="mso-next-textbox:#_x0000_s2058" inset="0,0,0,0">
            <w:txbxContent>
              <w:p w14:paraId="622822CB" w14:textId="77777777" w:rsidR="00AB5FA6" w:rsidRPr="00F425F4" w:rsidRDefault="00AB5FA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38CBBE75" w14:textId="77777777" w:rsidR="00AB5FA6" w:rsidRDefault="00AB5FA6"/>
            </w:txbxContent>
          </v:textbox>
          <w10:wrap anchorx="page" anchory="page"/>
        </v:shape>
      </w:pict>
    </w:r>
    <w:r>
      <w:pict w14:anchorId="426BBD0F">
        <v:shape id="_x0000_s2059" type="#_x0000_t202" style="position:absolute;margin-left:45.1pt;margin-top:27.5pt;width:329pt;height:17.35pt;z-index:-251660288;mso-position-horizontal-relative:page;mso-position-vertical-relative:page" filled="f" stroked="f">
          <v:textbox style="mso-next-textbox:#_x0000_s2059" inset="0,0,0,0">
            <w:txbxContent>
              <w:p w14:paraId="3AC3029A" w14:textId="77777777" w:rsidR="00AB5FA6" w:rsidRPr="00C157D3" w:rsidRDefault="00AB5FA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3C1532" w14:textId="77777777" w:rsidR="00B31B1E" w:rsidRPr="00D618F5" w:rsidRDefault="00B31B1E" w:rsidP="008728CB">
    <w:pPr>
      <w:pStyle w:val="Header"/>
      <w:framePr w:wrap="around" w:vAnchor="text" w:hAnchor="margin" w:xAlign="right" w:y="1"/>
      <w:rPr>
        <w:rStyle w:val="PageNumber"/>
        <w:color w:val="595959" w:themeColor="text1" w:themeTint="A6"/>
        <w:sz w:val="20"/>
        <w:szCs w:val="20"/>
      </w:rPr>
    </w:pPr>
    <w:r w:rsidRPr="00D618F5">
      <w:rPr>
        <w:rStyle w:val="PageNumber"/>
        <w:color w:val="595959" w:themeColor="text1" w:themeTint="A6"/>
        <w:sz w:val="20"/>
        <w:szCs w:val="20"/>
      </w:rPr>
      <w:fldChar w:fldCharType="begin"/>
    </w:r>
    <w:r w:rsidRPr="00D618F5">
      <w:rPr>
        <w:rStyle w:val="PageNumber"/>
        <w:color w:val="595959" w:themeColor="text1" w:themeTint="A6"/>
        <w:sz w:val="20"/>
        <w:szCs w:val="20"/>
      </w:rPr>
      <w:instrText xml:space="preserve">PAGE  </w:instrText>
    </w:r>
    <w:r w:rsidRPr="00D618F5">
      <w:rPr>
        <w:rStyle w:val="PageNumber"/>
        <w:color w:val="595959" w:themeColor="text1" w:themeTint="A6"/>
        <w:sz w:val="20"/>
        <w:szCs w:val="20"/>
      </w:rPr>
      <w:fldChar w:fldCharType="separate"/>
    </w:r>
    <w:r w:rsidR="00484EA6">
      <w:rPr>
        <w:rStyle w:val="PageNumber"/>
        <w:noProof/>
        <w:color w:val="595959" w:themeColor="text1" w:themeTint="A6"/>
        <w:sz w:val="20"/>
        <w:szCs w:val="20"/>
      </w:rPr>
      <w:t>3</w:t>
    </w:r>
    <w:r w:rsidRPr="00D618F5">
      <w:rPr>
        <w:rStyle w:val="PageNumber"/>
        <w:color w:val="595959" w:themeColor="text1" w:themeTint="A6"/>
        <w:sz w:val="20"/>
        <w:szCs w:val="20"/>
      </w:rPr>
      <w:fldChar w:fldCharType="end"/>
    </w:r>
  </w:p>
  <w:p w14:paraId="5E05FA21" w14:textId="77777777" w:rsidR="00B31B1E" w:rsidRPr="00D618F5" w:rsidRDefault="00B31B1E" w:rsidP="00B31B1E">
    <w:pPr>
      <w:spacing w:after="0" w:line="200" w:lineRule="exact"/>
      <w:ind w:right="360"/>
      <w:rPr>
        <w:rFonts w:ascii="Arial" w:hAnsi="Arial" w:cs="Arial"/>
        <w:b/>
        <w:color w:val="595959" w:themeColor="text1" w:themeTint="A6"/>
        <w:sz w:val="28"/>
        <w:szCs w:val="28"/>
      </w:rPr>
    </w:pPr>
  </w:p>
  <w:p w14:paraId="2659A21A" w14:textId="77777777" w:rsidR="00B31B1E" w:rsidRPr="00D618F5" w:rsidRDefault="00786150" w:rsidP="00B31B1E">
    <w:pPr>
      <w:spacing w:after="0" w:line="200" w:lineRule="exact"/>
      <w:rPr>
        <w:rFonts w:ascii="Arial" w:hAnsi="Arial" w:cs="Arial"/>
        <w:color w:val="595959" w:themeColor="text1" w:themeTint="A6"/>
        <w:sz w:val="24"/>
        <w:szCs w:val="24"/>
      </w:rPr>
    </w:pPr>
    <w:r>
      <w:rPr>
        <w:rFonts w:ascii="Arial" w:hAnsi="Arial" w:cs="Arial"/>
        <w:color w:val="595959" w:themeColor="text1" w:themeTint="A6"/>
        <w:sz w:val="24"/>
        <w:szCs w:val="24"/>
      </w:rPr>
      <w:t>Series 60 In-Line Mounted</w:t>
    </w:r>
    <w:r w:rsidR="00B31B1E" w:rsidRPr="00D618F5">
      <w:rPr>
        <w:rFonts w:ascii="Arial" w:hAnsi="Arial" w:cs="Arial"/>
        <w:color w:val="595959" w:themeColor="text1" w:themeTint="A6"/>
        <w:sz w:val="24"/>
        <w:szCs w:val="24"/>
      </w:rPr>
      <w:t xml:space="preserve"> Specifications</w:t>
    </w:r>
  </w:p>
  <w:p w14:paraId="57AC7851" w14:textId="77777777" w:rsidR="00AB5FA6" w:rsidRPr="00B31B1E" w:rsidRDefault="00AB5FA6" w:rsidP="00B31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27EF"/>
    <w:rsid w:val="00000048"/>
    <w:rsid w:val="0007687E"/>
    <w:rsid w:val="000D54C0"/>
    <w:rsid w:val="000D5BBB"/>
    <w:rsid w:val="000E6783"/>
    <w:rsid w:val="00127EDC"/>
    <w:rsid w:val="00140F43"/>
    <w:rsid w:val="0014143D"/>
    <w:rsid w:val="001D22E9"/>
    <w:rsid w:val="0020562C"/>
    <w:rsid w:val="002127EF"/>
    <w:rsid w:val="00217C3E"/>
    <w:rsid w:val="002C0EC1"/>
    <w:rsid w:val="0034725D"/>
    <w:rsid w:val="003C490F"/>
    <w:rsid w:val="00423A04"/>
    <w:rsid w:val="00443788"/>
    <w:rsid w:val="00450295"/>
    <w:rsid w:val="00484EA6"/>
    <w:rsid w:val="004F377A"/>
    <w:rsid w:val="00707F9C"/>
    <w:rsid w:val="00786150"/>
    <w:rsid w:val="007B4FEB"/>
    <w:rsid w:val="00843BA7"/>
    <w:rsid w:val="009422B5"/>
    <w:rsid w:val="00950803"/>
    <w:rsid w:val="00A713CA"/>
    <w:rsid w:val="00A82787"/>
    <w:rsid w:val="00A95559"/>
    <w:rsid w:val="00AB5E07"/>
    <w:rsid w:val="00AB5FA6"/>
    <w:rsid w:val="00B07CBB"/>
    <w:rsid w:val="00B31B1E"/>
    <w:rsid w:val="00BB1464"/>
    <w:rsid w:val="00BC3BCB"/>
    <w:rsid w:val="00BC6A6C"/>
    <w:rsid w:val="00C157D3"/>
    <w:rsid w:val="00CC0161"/>
    <w:rsid w:val="00CE1743"/>
    <w:rsid w:val="00CE3146"/>
    <w:rsid w:val="00CF2492"/>
    <w:rsid w:val="00D245E7"/>
    <w:rsid w:val="00D42B96"/>
    <w:rsid w:val="00D618F5"/>
    <w:rsid w:val="00DC3000"/>
    <w:rsid w:val="00DC6187"/>
    <w:rsid w:val="00DD3B05"/>
    <w:rsid w:val="00DF7CD3"/>
    <w:rsid w:val="00E04AB7"/>
    <w:rsid w:val="00E677AF"/>
    <w:rsid w:val="00EA5944"/>
    <w:rsid w:val="00F425F4"/>
    <w:rsid w:val="00F456D7"/>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32FF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Default">
    <w:name w:val="Default"/>
    <w:rsid w:val="00AB5FA6"/>
    <w:pPr>
      <w:autoSpaceDE w:val="0"/>
      <w:autoSpaceDN w:val="0"/>
      <w:adjustRightInd w:val="0"/>
      <w:spacing w:after="0" w:line="240" w:lineRule="auto"/>
    </w:pPr>
    <w:rPr>
      <w:rFonts w:ascii="AvenirNext LT Pro Medium" w:hAnsi="AvenirNext LT Pro Medium" w:cs="AvenirNext LT Pro Medium"/>
      <w:color w:val="000000"/>
      <w:sz w:val="24"/>
      <w:szCs w:val="24"/>
    </w:rPr>
  </w:style>
  <w:style w:type="character" w:customStyle="1" w:styleId="A2">
    <w:name w:val="A2"/>
    <w:uiPriority w:val="99"/>
    <w:rsid w:val="00AB5FA6"/>
    <w:rPr>
      <w:rFonts w:cs="AvenirNext LT Pro Medium"/>
      <w:color w:val="221E1F"/>
      <w:sz w:val="32"/>
      <w:szCs w:val="32"/>
    </w:rPr>
  </w:style>
  <w:style w:type="paragraph" w:customStyle="1" w:styleId="Pa1">
    <w:name w:val="Pa1"/>
    <w:basedOn w:val="Default"/>
    <w:next w:val="Default"/>
    <w:uiPriority w:val="99"/>
    <w:rsid w:val="00AB5FA6"/>
    <w:pPr>
      <w:spacing w:line="241" w:lineRule="atLeast"/>
    </w:pPr>
    <w:rPr>
      <w:rFonts w:cs="Times New Roman"/>
      <w:color w:val="auto"/>
    </w:rPr>
  </w:style>
  <w:style w:type="character" w:customStyle="1" w:styleId="A5">
    <w:name w:val="A5"/>
    <w:uiPriority w:val="99"/>
    <w:rsid w:val="00AB5FA6"/>
    <w:rPr>
      <w:rFonts w:cs="AvenirNext LT Pro Medium"/>
      <w:color w:val="221E1F"/>
      <w:sz w:val="22"/>
      <w:szCs w:val="22"/>
    </w:rPr>
  </w:style>
  <w:style w:type="paragraph" w:customStyle="1" w:styleId="BasicParagraph">
    <w:name w:val="[Basic Paragraph]"/>
    <w:basedOn w:val="Normal"/>
    <w:uiPriority w:val="99"/>
    <w:rsid w:val="00AB5FA6"/>
    <w:pPr>
      <w:suppressAutoHyphens/>
      <w:autoSpaceDE w:val="0"/>
      <w:autoSpaceDN w:val="0"/>
      <w:adjustRightInd w:val="0"/>
      <w:spacing w:after="0" w:line="288" w:lineRule="auto"/>
      <w:textAlignment w:val="center"/>
    </w:pPr>
    <w:rPr>
      <w:rFonts w:ascii="AvenirNextLTPro-Medium" w:hAnsi="AvenirNextLTPro-Medium" w:cs="AvenirNextLTPro-Medium"/>
      <w:color w:val="000000"/>
      <w:sz w:val="24"/>
      <w:szCs w:val="24"/>
    </w:rPr>
  </w:style>
  <w:style w:type="character" w:styleId="PageNumber">
    <w:name w:val="page number"/>
    <w:basedOn w:val="DefaultParagraphFont"/>
    <w:uiPriority w:val="99"/>
    <w:semiHidden/>
    <w:unhideWhenUsed/>
    <w:rsid w:val="000E6783"/>
  </w:style>
  <w:style w:type="paragraph" w:customStyle="1" w:styleId="NoParagraphStyle">
    <w:name w:val="[No Paragraph Style]"/>
    <w:rsid w:val="00E677AF"/>
    <w:pPr>
      <w:autoSpaceDE w:val="0"/>
      <w:autoSpaceDN w:val="0"/>
      <w:adjustRightInd w:val="0"/>
      <w:spacing w:after="0" w:line="288" w:lineRule="auto"/>
      <w:textAlignment w:val="center"/>
    </w:pPr>
    <w:rPr>
      <w:rFonts w:ascii="AvenirNextLTPro-Regular" w:hAnsi="AvenirNextLTPro-Regular" w:cs="AvenirNextLTPro-Regular"/>
      <w:color w:val="000000"/>
      <w:sz w:val="24"/>
      <w:szCs w:val="24"/>
    </w:rPr>
  </w:style>
  <w:style w:type="character" w:customStyle="1" w:styleId="CoverHead">
    <w:name w:val="Cover Head"/>
    <w:uiPriority w:val="99"/>
    <w:rsid w:val="00E677AF"/>
    <w:rPr>
      <w:rFonts w:ascii="AvenirNextLTPro-Regular" w:hAnsi="AvenirNextLTPro-Regular" w:cs="AvenirNextLTPro-Regular"/>
      <w:color w:val="FFFFFF"/>
      <w:spacing w:val="-6"/>
      <w:w w:val="100"/>
      <w:position w:val="-12"/>
      <w:sz w:val="64"/>
      <w:szCs w:val="64"/>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473</Words>
  <Characters>2702</Characters>
  <Application>Microsoft Macintosh Word</Application>
  <DocSecurity>0</DocSecurity>
  <Lines>22</Lines>
  <Paragraphs>6</Paragraphs>
  <ScaleCrop>false</ScaleCrop>
  <Company>ITT RCW</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Kost</cp:lastModifiedBy>
  <cp:revision>43</cp:revision>
  <dcterms:created xsi:type="dcterms:W3CDTF">2015-11-17T08:09:00Z</dcterms:created>
  <dcterms:modified xsi:type="dcterms:W3CDTF">2016-03-19T03:09:00Z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